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A112B" w14:textId="5DB19588" w:rsidR="00A20464" w:rsidRPr="00A20464" w:rsidRDefault="00D5151A" w:rsidP="00A2046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0464">
        <w:rPr>
          <w:rFonts w:ascii="Times New Roman" w:hAnsi="Times New Roman" w:cs="Times New Roman"/>
          <w:b/>
          <w:sz w:val="32"/>
          <w:szCs w:val="32"/>
        </w:rPr>
        <w:t>TAASTEKAVA</w:t>
      </w:r>
    </w:p>
    <w:p w14:paraId="1AB7B93E" w14:textId="58922742" w:rsidR="00A20464" w:rsidRPr="00A20464" w:rsidRDefault="00837DD9" w:rsidP="00A2046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20464">
        <w:rPr>
          <w:rFonts w:ascii="Times New Roman" w:hAnsi="Times New Roman" w:cs="Times New Roman"/>
          <w:b/>
          <w:sz w:val="32"/>
          <w:szCs w:val="32"/>
        </w:rPr>
        <w:t>Stsenaariumi</w:t>
      </w:r>
      <w:r>
        <w:rPr>
          <w:rFonts w:ascii="Times New Roman" w:hAnsi="Times New Roman" w:cs="Times New Roman"/>
          <w:b/>
          <w:sz w:val="32"/>
          <w:szCs w:val="32"/>
        </w:rPr>
        <w:t>dele</w:t>
      </w:r>
      <w:r w:rsidRPr="00A2046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5151A" w:rsidRPr="00A20464">
        <w:rPr>
          <w:rFonts w:ascii="Times New Roman" w:hAnsi="Times New Roman" w:cs="Times New Roman"/>
          <w:b/>
          <w:sz w:val="32"/>
          <w:szCs w:val="32"/>
        </w:rPr>
        <w:t>„</w:t>
      </w:r>
      <w:r w:rsidR="0028702D" w:rsidRPr="0028702D">
        <w:rPr>
          <w:rFonts w:ascii="Times New Roman" w:hAnsi="Times New Roman" w:cs="Times New Roman"/>
          <w:b/>
          <w:sz w:val="32"/>
          <w:szCs w:val="32"/>
        </w:rPr>
        <w:t>Tormijä</w:t>
      </w:r>
      <w:r w:rsidR="0028702D">
        <w:rPr>
          <w:rFonts w:ascii="Times New Roman" w:hAnsi="Times New Roman" w:cs="Times New Roman"/>
          <w:b/>
          <w:sz w:val="32"/>
          <w:szCs w:val="32"/>
        </w:rPr>
        <w:t>rgsete koristustööde teostamine</w:t>
      </w:r>
      <w:r w:rsidR="0028702D" w:rsidRPr="0028702D">
        <w:rPr>
          <w:rFonts w:ascii="Times New Roman" w:hAnsi="Times New Roman" w:cs="Times New Roman"/>
          <w:b/>
          <w:sz w:val="32"/>
          <w:szCs w:val="32"/>
        </w:rPr>
        <w:t xml:space="preserve">  </w:t>
      </w:r>
      <w:r w:rsidRPr="00837DD9">
        <w:rPr>
          <w:rFonts w:ascii="Times New Roman" w:hAnsi="Times New Roman" w:cs="Times New Roman"/>
          <w:b/>
          <w:sz w:val="32"/>
          <w:szCs w:val="32"/>
        </w:rPr>
        <w:t>personali</w:t>
      </w:r>
      <w:r>
        <w:rPr>
          <w:rFonts w:ascii="Times New Roman" w:hAnsi="Times New Roman" w:cs="Times New Roman"/>
          <w:b/>
          <w:sz w:val="32"/>
          <w:szCs w:val="32"/>
        </w:rPr>
        <w:t xml:space="preserve"> puuduse, </w:t>
      </w:r>
      <w:r w:rsidRPr="00837DD9">
        <w:rPr>
          <w:rFonts w:ascii="Times New Roman" w:hAnsi="Times New Roman" w:cs="Times New Roman"/>
          <w:b/>
          <w:sz w:val="32"/>
          <w:szCs w:val="32"/>
        </w:rPr>
        <w:t>mehhanismide</w:t>
      </w:r>
      <w:r>
        <w:rPr>
          <w:rFonts w:ascii="Times New Roman" w:hAnsi="Times New Roman" w:cs="Times New Roman"/>
          <w:b/>
          <w:sz w:val="32"/>
          <w:szCs w:val="32"/>
        </w:rPr>
        <w:t xml:space="preserve"> rikke,</w:t>
      </w:r>
      <w:r w:rsidRPr="00837DD9">
        <w:rPr>
          <w:rFonts w:ascii="Times New Roman" w:hAnsi="Times New Roman" w:cs="Times New Roman"/>
          <w:b/>
          <w:sz w:val="32"/>
          <w:szCs w:val="32"/>
        </w:rPr>
        <w:t xml:space="preserve"> territooriumile</w:t>
      </w:r>
      <w:r>
        <w:rPr>
          <w:rFonts w:ascii="Times New Roman" w:hAnsi="Times New Roman" w:cs="Times New Roman"/>
          <w:b/>
          <w:sz w:val="32"/>
          <w:szCs w:val="32"/>
        </w:rPr>
        <w:t xml:space="preserve"> ligipääsu puudumise, vedelkütuse või andmeside katkestuse tõttu</w:t>
      </w:r>
      <w:r w:rsidR="00D5151A" w:rsidRPr="00A20464">
        <w:rPr>
          <w:rFonts w:ascii="Times New Roman" w:hAnsi="Times New Roman" w:cs="Times New Roman"/>
          <w:b/>
          <w:sz w:val="32"/>
          <w:szCs w:val="32"/>
        </w:rPr>
        <w:t>“</w:t>
      </w:r>
    </w:p>
    <w:p w14:paraId="7DD332C1" w14:textId="0C650684" w:rsidR="00047B5C" w:rsidRPr="00B506A8" w:rsidRDefault="004E3D8A" w:rsidP="001E1259">
      <w:pPr>
        <w:jc w:val="both"/>
        <w:rPr>
          <w:rFonts w:ascii="Times New Roman" w:hAnsi="Times New Roman" w:cs="Times New Roman"/>
          <w:sz w:val="24"/>
          <w:szCs w:val="24"/>
        </w:rPr>
      </w:pPr>
      <w:r w:rsidRPr="00B506A8">
        <w:rPr>
          <w:rFonts w:ascii="Times New Roman" w:hAnsi="Times New Roman" w:cs="Times New Roman"/>
          <w:sz w:val="24"/>
          <w:szCs w:val="24"/>
        </w:rPr>
        <w:t>Kasutuselevõtmise tingimused, mille korral rakendatakse plaanis kirjeldatud meetmeid</w:t>
      </w:r>
      <w:r w:rsidR="00A20464" w:rsidRPr="00B506A8">
        <w:rPr>
          <w:rFonts w:ascii="Times New Roman" w:hAnsi="Times New Roman" w:cs="Times New Roman"/>
          <w:sz w:val="24"/>
          <w:szCs w:val="24"/>
        </w:rPr>
        <w:t>:</w:t>
      </w:r>
    </w:p>
    <w:p w14:paraId="24361CB9" w14:textId="3D1E9BAD" w:rsidR="00A20464" w:rsidRPr="00641D9F" w:rsidRDefault="00A20464" w:rsidP="001E125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506A8">
        <w:rPr>
          <w:rFonts w:ascii="Times New Roman" w:hAnsi="Times New Roman" w:cs="Times New Roman"/>
          <w:sz w:val="24"/>
          <w:szCs w:val="24"/>
        </w:rPr>
        <w:t>Kavas toodud meetmed võetakse kasutusele</w:t>
      </w:r>
      <w:r w:rsidR="0089738D">
        <w:rPr>
          <w:rFonts w:ascii="Times New Roman" w:hAnsi="Times New Roman" w:cs="Times New Roman"/>
          <w:sz w:val="24"/>
          <w:szCs w:val="24"/>
        </w:rPr>
        <w:t xml:space="preserve"> raskete ilmaolude korral ning</w:t>
      </w:r>
      <w:r w:rsidRPr="00B506A8">
        <w:rPr>
          <w:rFonts w:ascii="Times New Roman" w:hAnsi="Times New Roman" w:cs="Times New Roman"/>
          <w:sz w:val="24"/>
          <w:szCs w:val="24"/>
        </w:rPr>
        <w:t xml:space="preserve"> elutähtsa teenuse „riigitee </w:t>
      </w:r>
      <w:proofErr w:type="spellStart"/>
      <w:r w:rsidRPr="00B506A8">
        <w:rPr>
          <w:rFonts w:ascii="Times New Roman" w:hAnsi="Times New Roman" w:cs="Times New Roman"/>
          <w:sz w:val="24"/>
          <w:szCs w:val="24"/>
        </w:rPr>
        <w:t>sõidetavuse</w:t>
      </w:r>
      <w:proofErr w:type="spellEnd"/>
      <w:r w:rsidRPr="00B506A8">
        <w:rPr>
          <w:rFonts w:ascii="Times New Roman" w:hAnsi="Times New Roman" w:cs="Times New Roman"/>
          <w:sz w:val="24"/>
          <w:szCs w:val="24"/>
        </w:rPr>
        <w:t xml:space="preserve"> tagamise“ katkestuse</w:t>
      </w:r>
      <w:r w:rsidR="00837DD9" w:rsidRPr="00B506A8">
        <w:rPr>
          <w:rFonts w:ascii="Times New Roman" w:hAnsi="Times New Roman" w:cs="Times New Roman"/>
          <w:sz w:val="24"/>
          <w:szCs w:val="24"/>
        </w:rPr>
        <w:t>st</w:t>
      </w:r>
      <w:r w:rsidRPr="00B506A8">
        <w:rPr>
          <w:rFonts w:ascii="Times New Roman" w:hAnsi="Times New Roman" w:cs="Times New Roman"/>
          <w:sz w:val="24"/>
          <w:szCs w:val="24"/>
        </w:rPr>
        <w:t xml:space="preserve"> </w:t>
      </w:r>
      <w:r w:rsidR="00837DD9" w:rsidRPr="00B506A8">
        <w:rPr>
          <w:rFonts w:ascii="Times New Roman" w:hAnsi="Times New Roman" w:cs="Times New Roman"/>
          <w:sz w:val="24"/>
          <w:szCs w:val="24"/>
        </w:rPr>
        <w:t>põhjustatud hä</w:t>
      </w:r>
      <w:r w:rsidR="0089738D">
        <w:rPr>
          <w:rFonts w:ascii="Times New Roman" w:hAnsi="Times New Roman" w:cs="Times New Roman"/>
          <w:sz w:val="24"/>
          <w:szCs w:val="24"/>
        </w:rPr>
        <w:t>daolukorra või selle ohu korral.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0"/>
        <w:gridCol w:w="2109"/>
        <w:gridCol w:w="2254"/>
        <w:gridCol w:w="2109"/>
      </w:tblGrid>
      <w:tr w:rsidR="00047B5C" w:rsidRPr="00552472" w14:paraId="0EFA2852" w14:textId="77777777" w:rsidTr="008654BA">
        <w:tc>
          <w:tcPr>
            <w:tcW w:w="2590" w:type="dxa"/>
          </w:tcPr>
          <w:p w14:paraId="0D9A13CE" w14:textId="77777777" w:rsidR="00047B5C" w:rsidRPr="00552472" w:rsidRDefault="004E3D8A" w:rsidP="00552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Olukorra lahendamise juht</w:t>
            </w:r>
          </w:p>
        </w:tc>
        <w:tc>
          <w:tcPr>
            <w:tcW w:w="6472" w:type="dxa"/>
            <w:gridSpan w:val="3"/>
          </w:tcPr>
          <w:p w14:paraId="68012E61" w14:textId="77777777" w:rsidR="00CE7CFE" w:rsidRDefault="00CE7CFE" w:rsidP="00CE7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Projektijuht</w:t>
            </w:r>
          </w:p>
          <w:p w14:paraId="6AF68932" w14:textId="105D1D21" w:rsidR="00047B5C" w:rsidRPr="00552472" w:rsidRDefault="00CE7CFE" w:rsidP="00CE7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Raul Olesk</w:t>
            </w: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hoolde</w:t>
            </w: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juht,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5054082</w:t>
            </w:r>
          </w:p>
        </w:tc>
      </w:tr>
      <w:tr w:rsidR="00047B5C" w:rsidRPr="00552472" w14:paraId="11B496BE" w14:textId="77777777" w:rsidTr="008654BA">
        <w:tc>
          <w:tcPr>
            <w:tcW w:w="2590" w:type="dxa"/>
          </w:tcPr>
          <w:p w14:paraId="2DE98DA8" w14:textId="3E32A9EB" w:rsidR="00047B5C" w:rsidRPr="00552472" w:rsidRDefault="004E3D8A" w:rsidP="00552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Tegevused olukorra lahendamiseks</w:t>
            </w:r>
          </w:p>
        </w:tc>
        <w:tc>
          <w:tcPr>
            <w:tcW w:w="6472" w:type="dxa"/>
            <w:gridSpan w:val="3"/>
          </w:tcPr>
          <w:p w14:paraId="11BC2E03" w14:textId="7999F68C" w:rsidR="008753AA" w:rsidRDefault="008753AA" w:rsidP="00A56A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Riigi Ilmateenistuselt tormihoiatuste saamisel valmisolek tormijärgseteks koristustöödeks.</w:t>
            </w:r>
          </w:p>
          <w:p w14:paraId="66EB8C52" w14:textId="77777777" w:rsidR="00CE7CFE" w:rsidRPr="005F0507" w:rsidRDefault="00CE7CFE" w:rsidP="00CE7CF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Kohene Maanteeinfo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telefonile 1247 (</w:t>
            </w: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-posti aadress </w:t>
            </w:r>
            <w:hyperlink r:id="rId6" w:history="1">
              <w:r w:rsidRPr="00247AF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teeinfo@112.ee</w:t>
              </w:r>
            </w:hyperlink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) ja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Transpordiameti</w:t>
            </w: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Liiklusjuhtimiskeskuse</w:t>
            </w:r>
            <w:proofErr w:type="spellEnd"/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 teavitamine (tel. 53005329, </w:t>
            </w:r>
            <w:hyperlink r:id="rId7" w:history="1">
              <w:r w:rsidRPr="00247AFE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tmc@transpordiamet.ee</w:t>
              </w:r>
            </w:hyperlink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 ) -  informatsiooni edastamine olulistest häiret võivatest sündmustest.</w:t>
            </w:r>
          </w:p>
          <w:p w14:paraId="020C006D" w14:textId="64A4B522" w:rsidR="008753AA" w:rsidRDefault="008753AA" w:rsidP="00A56A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Informatsiooni kogumine teele langenud puude asukohtade kohta HOSIS infosüsteemist või telefoni teel patrullsõitu teostava sõiduki kaudu.</w:t>
            </w:r>
          </w:p>
          <w:p w14:paraId="2546D786" w14:textId="6D4D32D0" w:rsidR="008753AA" w:rsidRDefault="008753AA" w:rsidP="00A56A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Kontaktide vahetus Pääste operatiivkorraldajaga paremaks töökorralduseks puude likvideerimisel. Kohtaktide vahetus saab toimuda </w:t>
            </w:r>
            <w:r w:rsidR="00CE7CFE">
              <w:rPr>
                <w:rFonts w:ascii="Times New Roman" w:hAnsi="Times New Roman" w:cs="Times New Roman"/>
                <w:sz w:val="24"/>
                <w:szCs w:val="24"/>
              </w:rPr>
              <w:t>1247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kaudu, kes edastab otse Häirekeskuselt saadud infot.</w:t>
            </w:r>
          </w:p>
          <w:p w14:paraId="1BF01809" w14:textId="6F87D8B8" w:rsidR="00A56A69" w:rsidRDefault="00A56A69" w:rsidP="00A56A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Enda töötajate kaasamine ja ülesannete jagamine.</w:t>
            </w:r>
          </w:p>
          <w:p w14:paraId="49920461" w14:textId="3E0CEF27" w:rsidR="00A56A69" w:rsidRPr="00552472" w:rsidRDefault="008753AA" w:rsidP="00A56A69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Vajadusel k</w:t>
            </w:r>
            <w:r w:rsidR="00A56A69">
              <w:rPr>
                <w:rFonts w:ascii="Times New Roman" w:hAnsi="Times New Roman" w:cs="Times New Roman"/>
                <w:sz w:val="24"/>
                <w:szCs w:val="24"/>
              </w:rPr>
              <w:t>oostööpartnerite kaasamine.</w:t>
            </w:r>
          </w:p>
          <w:p w14:paraId="4FA5F45F" w14:textId="310A9D47" w:rsidR="004E4031" w:rsidRPr="00552472" w:rsidRDefault="004E4031" w:rsidP="001A62CE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Varuressursside </w:t>
            </w:r>
            <w:proofErr w:type="spellStart"/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ülevaatamine</w:t>
            </w:r>
            <w:proofErr w:type="spellEnd"/>
            <w:r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 ja täpsustamine, vajadusel ressurssi pakkujatega kontakteerumine ja ilmaolude halvenemisel nende kaasamine</w:t>
            </w:r>
            <w:r w:rsidR="00A56A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9CAD64" w14:textId="77777777" w:rsidR="004E4031" w:rsidRPr="00552472" w:rsidRDefault="004E4031" w:rsidP="008F14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7B5C" w:rsidRPr="00552472" w14:paraId="595F5B82" w14:textId="77777777" w:rsidTr="008654BA">
        <w:tc>
          <w:tcPr>
            <w:tcW w:w="2590" w:type="dxa"/>
          </w:tcPr>
          <w:p w14:paraId="5807C074" w14:textId="19D005D3" w:rsidR="00047B5C" w:rsidRPr="00552472" w:rsidRDefault="00552472" w:rsidP="00EC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Lahendamisse kaasatavad </w:t>
            </w:r>
            <w:r w:rsidR="00EC540E">
              <w:rPr>
                <w:rFonts w:ascii="Times New Roman" w:hAnsi="Times New Roman" w:cs="Times New Roman"/>
                <w:sz w:val="24"/>
                <w:szCs w:val="24"/>
              </w:rPr>
              <w:t>enda töötajad, struktuuriüksused</w:t>
            </w:r>
          </w:p>
        </w:tc>
        <w:tc>
          <w:tcPr>
            <w:tcW w:w="6472" w:type="dxa"/>
            <w:gridSpan w:val="3"/>
          </w:tcPr>
          <w:p w14:paraId="3C6EFC48" w14:textId="77777777" w:rsidR="00047B5C" w:rsidRPr="00552472" w:rsidRDefault="008F1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Hooldeettevõtte sisenen suhtlusliin </w:t>
            </w:r>
          </w:p>
          <w:p w14:paraId="20198FB6" w14:textId="77777777" w:rsidR="00CE7CFE" w:rsidRDefault="00CE7CFE" w:rsidP="00CE7CF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Projektijuht, </w:t>
            </w:r>
            <w:r w:rsidRPr="007A2FA5">
              <w:rPr>
                <w:rFonts w:ascii="Times New Roman" w:hAnsi="Times New Roman" w:cs="Times New Roman"/>
                <w:sz w:val="24"/>
                <w:szCs w:val="24"/>
              </w:rPr>
              <w:t>koheselt hädaolukorra tekkides või selle ohu korral</w:t>
            </w:r>
          </w:p>
          <w:p w14:paraId="1F116C7A" w14:textId="25A27770" w:rsidR="00AD3717" w:rsidRPr="005F0507" w:rsidRDefault="00FA5E1A" w:rsidP="00AD37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Raul Olesk, hoolde</w:t>
            </w:r>
            <w:r w:rsidR="00AD3717" w:rsidRPr="005F0507">
              <w:rPr>
                <w:rFonts w:ascii="Times New Roman" w:hAnsi="Times New Roman" w:cs="Times New Roman"/>
                <w:sz w:val="24"/>
                <w:szCs w:val="24"/>
              </w:rPr>
              <w:t>juht, koheselt hädaolukorra tekkides või selle ohu korral</w:t>
            </w:r>
          </w:p>
          <w:p w14:paraId="60D1F5B2" w14:textId="65F49792" w:rsidR="00AD3717" w:rsidRDefault="00AD3717" w:rsidP="00AD37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 xml:space="preserve">Jaan Viljas, regioonijuht, 5093498, vastavalt vajadusele või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kokkuleppele </w:t>
            </w:r>
            <w:r w:rsidR="00FA5E1A">
              <w:rPr>
                <w:rFonts w:ascii="Times New Roman" w:hAnsi="Times New Roman" w:cs="Times New Roman"/>
                <w:sz w:val="24"/>
                <w:szCs w:val="24"/>
              </w:rPr>
              <w:t>hoolde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juhig</w:t>
            </w: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  <w:p w14:paraId="08D11D58" w14:textId="02F0895A" w:rsidR="00EC540E" w:rsidRPr="00552472" w:rsidRDefault="00AD3717" w:rsidP="00AD3717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Argo Luude, juhatuse liige, 5055163</w:t>
            </w:r>
          </w:p>
        </w:tc>
      </w:tr>
      <w:tr w:rsidR="00A56A69" w:rsidRPr="00552472" w14:paraId="7F72831F" w14:textId="77777777" w:rsidTr="008654BA">
        <w:tc>
          <w:tcPr>
            <w:tcW w:w="2590" w:type="dxa"/>
          </w:tcPr>
          <w:p w14:paraId="5880E7B9" w14:textId="57819AAB" w:rsidR="00A56A69" w:rsidRDefault="00EC540E" w:rsidP="00EC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Lahendamisse kaasatavad partnerid</w:t>
            </w:r>
          </w:p>
        </w:tc>
        <w:tc>
          <w:tcPr>
            <w:tcW w:w="6472" w:type="dxa"/>
            <w:gridSpan w:val="3"/>
          </w:tcPr>
          <w:p w14:paraId="6E79B542" w14:textId="24244AA7" w:rsidR="00EC540E" w:rsidRPr="00552472" w:rsidRDefault="00EC540E" w:rsidP="00EC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Keda koostööpartneritest kaasatakse</w:t>
            </w:r>
            <w:r w:rsidR="008753AA">
              <w:rPr>
                <w:rFonts w:ascii="Times New Roman" w:hAnsi="Times New Roman" w:cs="Times New Roman"/>
                <w:sz w:val="24"/>
                <w:szCs w:val="24"/>
              </w:rPr>
              <w:t xml:space="preserve"> (kui kaasatakse)</w:t>
            </w:r>
          </w:p>
          <w:p w14:paraId="639F3DC4" w14:textId="77777777" w:rsidR="00AD3717" w:rsidRDefault="00AD3717" w:rsidP="00EC5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467E92" w14:textId="0CEA63A2" w:rsidR="00EC540E" w:rsidRPr="00552472" w:rsidRDefault="00AD3717" w:rsidP="00EC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507">
              <w:rPr>
                <w:rFonts w:ascii="Times New Roman" w:hAnsi="Times New Roman" w:cs="Times New Roman"/>
                <w:sz w:val="24"/>
                <w:szCs w:val="24"/>
              </w:rPr>
              <w:t>Valves olevad lepingulised partnerid puuduvad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54BA" w:rsidRPr="00552472" w14:paraId="752C7C57" w14:textId="77777777" w:rsidTr="008654BA">
        <w:trPr>
          <w:trHeight w:val="606"/>
        </w:trPr>
        <w:tc>
          <w:tcPr>
            <w:tcW w:w="2590" w:type="dxa"/>
            <w:vMerge w:val="restart"/>
          </w:tcPr>
          <w:p w14:paraId="3A468050" w14:textId="77777777" w:rsidR="008654BA" w:rsidRPr="00552472" w:rsidRDefault="008654BA" w:rsidP="00552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Ressursside loetelu, hankimine, kuluv aeg</w:t>
            </w:r>
          </w:p>
        </w:tc>
        <w:tc>
          <w:tcPr>
            <w:tcW w:w="2109" w:type="dxa"/>
          </w:tcPr>
          <w:p w14:paraId="3DB56118" w14:textId="77777777" w:rsidR="008654BA" w:rsidRPr="00552472" w:rsidRDefault="008654BA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Personal</w:t>
            </w:r>
          </w:p>
          <w:p w14:paraId="725A9C00" w14:textId="77777777" w:rsidR="008654BA" w:rsidRPr="00552472" w:rsidRDefault="008654BA" w:rsidP="008654BA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14:paraId="02113AF6" w14:textId="2E990E7B" w:rsidR="008654BA" w:rsidRDefault="00BF0CAC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8654BA" w:rsidRPr="00552472">
              <w:rPr>
                <w:rFonts w:ascii="Times New Roman" w:hAnsi="Times New Roman" w:cs="Times New Roman"/>
                <w:sz w:val="24"/>
                <w:szCs w:val="24"/>
              </w:rPr>
              <w:t>öö teostamiseks vajalik inimeste arv</w:t>
            </w:r>
            <w:r w:rsidR="00AD3717">
              <w:rPr>
                <w:rFonts w:ascii="Times New Roman" w:hAnsi="Times New Roman" w:cs="Times New Roman"/>
                <w:sz w:val="24"/>
                <w:szCs w:val="24"/>
              </w:rPr>
              <w:t xml:space="preserve"> – 1</w:t>
            </w:r>
            <w:r w:rsidR="00CE7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6EC72DC" w14:textId="77777777" w:rsidR="00BF0CAC" w:rsidRDefault="00BF0CAC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1F9461" w14:textId="6A0FB054" w:rsidR="00BF0CAC" w:rsidRPr="00552472" w:rsidRDefault="00BF0CAC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6B8C01C3" w14:textId="222BA6CB" w:rsidR="008654BA" w:rsidRPr="00552472" w:rsidRDefault="00EC540E" w:rsidP="00CE7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Kellelt ja h</w:t>
            </w:r>
            <w:r w:rsidR="008654BA" w:rsidRPr="00552472">
              <w:rPr>
                <w:rFonts w:ascii="Times New Roman" w:hAnsi="Times New Roman" w:cs="Times New Roman"/>
                <w:sz w:val="24"/>
                <w:szCs w:val="24"/>
              </w:rPr>
              <w:t>ankimisele kuuluv aeg</w:t>
            </w:r>
            <w:r w:rsidR="00AD371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D3717" w:rsidRPr="00AD3717">
              <w:rPr>
                <w:rFonts w:ascii="Times New Roman" w:hAnsi="Times New Roman" w:cs="Times New Roman"/>
                <w:sz w:val="24"/>
                <w:szCs w:val="24"/>
              </w:rPr>
              <w:t xml:space="preserve">ettevõtte enda muude tegevuste </w:t>
            </w:r>
            <w:r w:rsidR="00AD3717" w:rsidRPr="00AD37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arvelt on kuni </w:t>
            </w:r>
            <w:r w:rsidR="00CE7C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3717" w:rsidRPr="00AD3717">
              <w:rPr>
                <w:rFonts w:ascii="Times New Roman" w:hAnsi="Times New Roman" w:cs="Times New Roman"/>
                <w:sz w:val="24"/>
                <w:szCs w:val="24"/>
              </w:rPr>
              <w:t xml:space="preserve"> inimest juurde võimalik saada kuni, orienteeruv aeg 24h</w:t>
            </w:r>
          </w:p>
        </w:tc>
      </w:tr>
      <w:tr w:rsidR="008654BA" w:rsidRPr="00552472" w14:paraId="5E959C7B" w14:textId="77777777" w:rsidTr="008654BA">
        <w:trPr>
          <w:trHeight w:val="603"/>
        </w:trPr>
        <w:tc>
          <w:tcPr>
            <w:tcW w:w="2590" w:type="dxa"/>
            <w:vMerge/>
          </w:tcPr>
          <w:p w14:paraId="46AB0207" w14:textId="77777777" w:rsidR="008654BA" w:rsidRPr="00552472" w:rsidRDefault="008654BA" w:rsidP="004E3D8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29799A17" w14:textId="77777777" w:rsidR="008654BA" w:rsidRPr="00552472" w:rsidRDefault="008654BA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Tehnika</w:t>
            </w:r>
          </w:p>
        </w:tc>
        <w:tc>
          <w:tcPr>
            <w:tcW w:w="2254" w:type="dxa"/>
          </w:tcPr>
          <w:p w14:paraId="4CD7069D" w14:textId="5115F15B" w:rsidR="008654BA" w:rsidRDefault="008654BA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Ühikute arv</w:t>
            </w:r>
            <w:r w:rsidR="00AD3717">
              <w:rPr>
                <w:rFonts w:ascii="Times New Roman" w:hAnsi="Times New Roman" w:cs="Times New Roman"/>
                <w:sz w:val="24"/>
                <w:szCs w:val="24"/>
              </w:rPr>
              <w:t xml:space="preserve"> – 6 tk </w:t>
            </w:r>
          </w:p>
          <w:p w14:paraId="6CA79061" w14:textId="77777777" w:rsidR="00BF0CAC" w:rsidRDefault="00BF0CAC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92C23" w14:textId="702593E4" w:rsidR="00BF0CAC" w:rsidRPr="00552472" w:rsidRDefault="00BF0CAC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15BF1502" w14:textId="7BC3E266" w:rsidR="008654BA" w:rsidRPr="00552472" w:rsidRDefault="00EC540E" w:rsidP="00EC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Kellelt ja h</w:t>
            </w:r>
            <w:r w:rsidR="008654BA" w:rsidRPr="00552472">
              <w:rPr>
                <w:rFonts w:ascii="Times New Roman" w:hAnsi="Times New Roman" w:cs="Times New Roman"/>
                <w:sz w:val="24"/>
                <w:szCs w:val="24"/>
              </w:rPr>
              <w:t>ankimisele kuuluv aeg</w:t>
            </w:r>
            <w:r w:rsidR="00AD371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D3717" w:rsidRPr="00AD3717">
              <w:rPr>
                <w:rFonts w:ascii="Times New Roman" w:hAnsi="Times New Roman" w:cs="Times New Roman"/>
                <w:sz w:val="24"/>
                <w:szCs w:val="24"/>
              </w:rPr>
              <w:t>ettevõtte enda teiste osakondade ja regioonide arvelt on võimalik saada lisatehnikat juhul, kui mujal sel hetkel kasutuses ei ole</w:t>
            </w:r>
            <w:r w:rsidR="00AD3717">
              <w:rPr>
                <w:rFonts w:ascii="Times New Roman" w:hAnsi="Times New Roman" w:cs="Times New Roman"/>
                <w:sz w:val="24"/>
                <w:szCs w:val="24"/>
              </w:rPr>
              <w:t>, samuti võimalik kasutada töötajate enda tehnikat kokkuleppeliselt juhul, kui tehnilised on sobilikud, orienteeruv aeg 12-24h</w:t>
            </w:r>
          </w:p>
        </w:tc>
      </w:tr>
      <w:tr w:rsidR="00AD3717" w:rsidRPr="00552472" w14:paraId="4471EB0A" w14:textId="77777777" w:rsidTr="004B65D5">
        <w:trPr>
          <w:trHeight w:val="603"/>
        </w:trPr>
        <w:tc>
          <w:tcPr>
            <w:tcW w:w="2590" w:type="dxa"/>
            <w:vMerge/>
          </w:tcPr>
          <w:p w14:paraId="2CA101B6" w14:textId="77777777" w:rsidR="00AD3717" w:rsidRPr="00552472" w:rsidRDefault="00AD3717" w:rsidP="004E3D8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37CB7397" w14:textId="77777777" w:rsidR="00AD3717" w:rsidRPr="00552472" w:rsidRDefault="00AD3717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Alltöövõtjate</w:t>
            </w:r>
            <w:proofErr w:type="spellEnd"/>
            <w:r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 tehnika</w:t>
            </w:r>
          </w:p>
        </w:tc>
        <w:tc>
          <w:tcPr>
            <w:tcW w:w="4363" w:type="dxa"/>
            <w:gridSpan w:val="2"/>
          </w:tcPr>
          <w:p w14:paraId="0B43D5E8" w14:textId="518358E6" w:rsidR="00AD3717" w:rsidRPr="00552472" w:rsidRDefault="00AD3717" w:rsidP="00AD37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6B86">
              <w:rPr>
                <w:rFonts w:ascii="Times New Roman" w:hAnsi="Times New Roman" w:cs="Times New Roman"/>
                <w:sz w:val="24"/>
                <w:szCs w:val="24"/>
              </w:rPr>
              <w:t xml:space="preserve">Garanteeritud kohustustega lepingulisi </w:t>
            </w:r>
            <w:proofErr w:type="spellStart"/>
            <w:r w:rsidRPr="006C6B86">
              <w:rPr>
                <w:rFonts w:ascii="Times New Roman" w:hAnsi="Times New Roman" w:cs="Times New Roman"/>
                <w:sz w:val="24"/>
                <w:szCs w:val="24"/>
              </w:rPr>
              <w:t>alltöövõtjaid</w:t>
            </w:r>
            <w:proofErr w:type="spellEnd"/>
            <w:r w:rsidRPr="006C6B86">
              <w:rPr>
                <w:rFonts w:ascii="Times New Roman" w:hAnsi="Times New Roman" w:cs="Times New Roman"/>
                <w:sz w:val="24"/>
                <w:szCs w:val="24"/>
              </w:rPr>
              <w:t xml:space="preserve"> ja tehni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rentijaid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ettevõttel ei ole.</w:t>
            </w:r>
          </w:p>
        </w:tc>
      </w:tr>
      <w:tr w:rsidR="008753AA" w:rsidRPr="00552472" w14:paraId="6D43DDC7" w14:textId="77777777" w:rsidTr="008753AA">
        <w:trPr>
          <w:trHeight w:val="1015"/>
        </w:trPr>
        <w:tc>
          <w:tcPr>
            <w:tcW w:w="2590" w:type="dxa"/>
            <w:vMerge/>
          </w:tcPr>
          <w:p w14:paraId="6152BC97" w14:textId="77777777" w:rsidR="008753AA" w:rsidRPr="00552472" w:rsidRDefault="008753AA" w:rsidP="004E3D8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9" w:type="dxa"/>
          </w:tcPr>
          <w:p w14:paraId="3E19E484" w14:textId="77777777" w:rsidR="008753AA" w:rsidRPr="00552472" w:rsidRDefault="008753AA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Kütus</w:t>
            </w:r>
          </w:p>
        </w:tc>
        <w:tc>
          <w:tcPr>
            <w:tcW w:w="2254" w:type="dxa"/>
          </w:tcPr>
          <w:p w14:paraId="59D01BFF" w14:textId="386C892C" w:rsidR="008753AA" w:rsidRDefault="008753AA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Päevaseks töö teostamiseks vajalik kütuse kogus</w:t>
            </w:r>
            <w:r w:rsidR="00AD3717">
              <w:rPr>
                <w:rFonts w:ascii="Times New Roman" w:hAnsi="Times New Roman" w:cs="Times New Roman"/>
                <w:sz w:val="24"/>
                <w:szCs w:val="24"/>
              </w:rPr>
              <w:t xml:space="preserve"> – 400 l diiselkütust, 100 l bensiini </w:t>
            </w:r>
          </w:p>
          <w:p w14:paraId="609C2341" w14:textId="77777777" w:rsidR="008753AA" w:rsidRDefault="008753AA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6078DE" w14:textId="1FCEEE64" w:rsidR="008753AA" w:rsidRPr="00552472" w:rsidRDefault="008753AA" w:rsidP="00865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09" w:type="dxa"/>
          </w:tcPr>
          <w:p w14:paraId="4A09991E" w14:textId="6BDD4720" w:rsidR="008753AA" w:rsidRPr="00552472" w:rsidRDefault="008753AA" w:rsidP="00EC5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Kellelt ja h</w:t>
            </w: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ankimisele kuuluv aeg</w:t>
            </w:r>
            <w:r w:rsidR="00AD3717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AD3717" w:rsidRPr="00AD3717">
              <w:rPr>
                <w:rFonts w:ascii="Times New Roman" w:hAnsi="Times New Roman" w:cs="Times New Roman"/>
                <w:sz w:val="24"/>
                <w:szCs w:val="24"/>
              </w:rPr>
              <w:t>juhul, kui põhilepingu partneri käest ei ole võimalik kütust saada, puuduvad alternatiivsed kütuse hoidmise ja hankimise võimalused</w:t>
            </w:r>
          </w:p>
        </w:tc>
      </w:tr>
      <w:tr w:rsidR="008654BA" w:rsidRPr="00552472" w14:paraId="58D714A1" w14:textId="77777777" w:rsidTr="008654BA">
        <w:tc>
          <w:tcPr>
            <w:tcW w:w="2590" w:type="dxa"/>
          </w:tcPr>
          <w:p w14:paraId="122E2B15" w14:textId="77777777" w:rsidR="008654BA" w:rsidRPr="00552472" w:rsidRDefault="008654BA" w:rsidP="00552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Alternatiivsed tegevused, kui varem rakendatud ei andnud soovitud tulemus</w:t>
            </w:r>
          </w:p>
        </w:tc>
        <w:tc>
          <w:tcPr>
            <w:tcW w:w="6472" w:type="dxa"/>
            <w:gridSpan w:val="3"/>
          </w:tcPr>
          <w:p w14:paraId="3E90ECBE" w14:textId="0D2EBC97" w:rsidR="00B413B5" w:rsidRPr="006F5DB7" w:rsidRDefault="0082466A" w:rsidP="006F5DB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Tehnika suunamine </w:t>
            </w:r>
            <w:proofErr w:type="spellStart"/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olulistematele</w:t>
            </w:r>
            <w:proofErr w:type="spellEnd"/>
            <w:r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 põhiteedele, jättes mõnede tugi- ja kõrvalteede avamine hilisemaks. Valik tehakse vastavalt olukorrale</w:t>
            </w:r>
            <w:r w:rsidR="00BF0CAC">
              <w:rPr>
                <w:rFonts w:ascii="Times New Roman" w:hAnsi="Times New Roman" w:cs="Times New Roman"/>
                <w:sz w:val="24"/>
                <w:szCs w:val="24"/>
              </w:rPr>
              <w:t>, patrullsõitudele</w:t>
            </w: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 ja liiklussagedusele.</w:t>
            </w:r>
          </w:p>
        </w:tc>
      </w:tr>
      <w:tr w:rsidR="00047B5C" w:rsidRPr="00552472" w14:paraId="095A0346" w14:textId="77777777" w:rsidTr="008654BA">
        <w:tc>
          <w:tcPr>
            <w:tcW w:w="2590" w:type="dxa"/>
          </w:tcPr>
          <w:p w14:paraId="4E3F5C00" w14:textId="4A4C3CF0" w:rsidR="00047B5C" w:rsidRPr="00552472" w:rsidRDefault="009A6277" w:rsidP="00552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Leevendavad meetmed, kokkulepe </w:t>
            </w:r>
            <w:r w:rsidR="00CE7CFE">
              <w:rPr>
                <w:rFonts w:ascii="Times New Roman" w:hAnsi="Times New Roman" w:cs="Times New Roman"/>
                <w:sz w:val="24"/>
                <w:szCs w:val="24"/>
              </w:rPr>
              <w:t>Transpordiamet</w:t>
            </w: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iga, otsustamise kord, meetmete rakendamise viis</w:t>
            </w:r>
          </w:p>
        </w:tc>
        <w:tc>
          <w:tcPr>
            <w:tcW w:w="6472" w:type="dxa"/>
            <w:gridSpan w:val="3"/>
          </w:tcPr>
          <w:p w14:paraId="6FB93AF9" w14:textId="1B2AFBE9" w:rsidR="00047B5C" w:rsidRPr="00552472" w:rsidRDefault="00BF0CAC" w:rsidP="00B413B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Koostöös </w:t>
            </w:r>
            <w:r w:rsidR="00CE7CFE">
              <w:rPr>
                <w:rFonts w:ascii="Times New Roman" w:hAnsi="Times New Roman" w:cs="Times New Roman"/>
                <w:sz w:val="24"/>
                <w:szCs w:val="24"/>
              </w:rPr>
              <w:t>Transpordiamet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iga l</w:t>
            </w:r>
            <w:r w:rsidR="00B413B5" w:rsidRPr="00552472">
              <w:rPr>
                <w:rFonts w:ascii="Times New Roman" w:hAnsi="Times New Roman" w:cs="Times New Roman"/>
                <w:sz w:val="24"/>
                <w:szCs w:val="24"/>
              </w:rPr>
              <w:t>iiklejate teavitamine liiklusest hoidumiseks</w:t>
            </w:r>
          </w:p>
          <w:p w14:paraId="2F63239D" w14:textId="3F1643CE" w:rsidR="00B413B5" w:rsidRPr="00552472" w:rsidRDefault="00B413B5" w:rsidP="00B413B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Võimaluse korral läbipääsu tagamine alternatiivsete marsruutide kaudu</w:t>
            </w:r>
            <w:r w:rsidR="00641D9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0C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20CB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641D9F">
              <w:rPr>
                <w:rFonts w:ascii="Times New Roman" w:hAnsi="Times New Roman" w:cs="Times New Roman"/>
                <w:sz w:val="24"/>
                <w:szCs w:val="24"/>
              </w:rPr>
              <w:t>arsruudid on eelnevalt koostatud ja saadaval Liiklusjuhtimisekeskuse kaudu</w:t>
            </w:r>
            <w:r w:rsidR="00BF0CA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47B5C" w:rsidRPr="00552472" w14:paraId="1B8EC545" w14:textId="77777777" w:rsidTr="008654BA">
        <w:tc>
          <w:tcPr>
            <w:tcW w:w="2590" w:type="dxa"/>
          </w:tcPr>
          <w:p w14:paraId="5D3C419C" w14:textId="77777777" w:rsidR="00047B5C" w:rsidRPr="00552472" w:rsidRDefault="009A6277" w:rsidP="00552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Avalikusele edastatav teave ja käitumisjuhised</w:t>
            </w:r>
          </w:p>
        </w:tc>
        <w:tc>
          <w:tcPr>
            <w:tcW w:w="6472" w:type="dxa"/>
            <w:gridSpan w:val="3"/>
          </w:tcPr>
          <w:p w14:paraId="6BADEBD0" w14:textId="62E2A44B" w:rsidR="00047B5C" w:rsidRPr="00552472" w:rsidRDefault="00B413B5" w:rsidP="00B413B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Probleemse </w:t>
            </w:r>
            <w:proofErr w:type="spellStart"/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sõidetavusega</w:t>
            </w:r>
            <w:proofErr w:type="spellEnd"/>
            <w:r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 teede asukohtade teavitamine </w:t>
            </w:r>
            <w:r w:rsidR="00CE7CFE">
              <w:rPr>
                <w:rFonts w:ascii="Times New Roman" w:hAnsi="Times New Roman" w:cs="Times New Roman"/>
                <w:sz w:val="24"/>
                <w:szCs w:val="24"/>
              </w:rPr>
              <w:t>Transpordiamet</w:t>
            </w: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ile</w:t>
            </w:r>
            <w:r w:rsidR="00647955" w:rsidRPr="005524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3C8B38" w14:textId="77777777" w:rsidR="00647955" w:rsidRPr="00552472" w:rsidRDefault="00B413B5" w:rsidP="006479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asukoht, kus esineb katkestuse olukord</w:t>
            </w:r>
            <w:bookmarkStart w:id="1" w:name="para5lg2p2"/>
            <w:r w:rsidR="00647955"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 või katkestus on toimunud;</w:t>
            </w:r>
          </w:p>
          <w:bookmarkEnd w:id="1"/>
          <w:p w14:paraId="4FB5922C" w14:textId="77777777" w:rsidR="00647955" w:rsidRPr="00552472" w:rsidRDefault="00B413B5" w:rsidP="006479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olukorra lühikirjeldus;</w:t>
            </w:r>
          </w:p>
          <w:p w14:paraId="03B58FFC" w14:textId="77777777" w:rsidR="00647955" w:rsidRPr="00552472" w:rsidRDefault="00B413B5" w:rsidP="006479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lahendamise käik ja kaasatavad osapooled;</w:t>
            </w:r>
          </w:p>
          <w:p w14:paraId="67615C89" w14:textId="77777777" w:rsidR="00B413B5" w:rsidRPr="00552472" w:rsidRDefault="00647955" w:rsidP="00647955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ol</w:t>
            </w:r>
            <w:r w:rsidR="00B413B5" w:rsidRPr="00552472">
              <w:rPr>
                <w:rFonts w:ascii="Times New Roman" w:hAnsi="Times New Roman" w:cs="Times New Roman"/>
                <w:sz w:val="24"/>
                <w:szCs w:val="24"/>
              </w:rPr>
              <w:t>ukorra hinnanguline kestus.</w:t>
            </w:r>
          </w:p>
          <w:p w14:paraId="1D27D122" w14:textId="46B82449" w:rsidR="00647955" w:rsidRPr="00552472" w:rsidRDefault="00CE7CFE" w:rsidP="00647955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Transpordiamet</w:t>
            </w:r>
            <w:r w:rsidR="00647955"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proofErr w:type="spellStart"/>
            <w:r w:rsidR="00647955" w:rsidRPr="00552472">
              <w:rPr>
                <w:rFonts w:ascii="Times New Roman" w:hAnsi="Times New Roman" w:cs="Times New Roman"/>
                <w:sz w:val="24"/>
                <w:szCs w:val="24"/>
              </w:rPr>
              <w:t>Liiklusjuhtimiskeskus</w:t>
            </w:r>
            <w:proofErr w:type="spellEnd"/>
            <w:r w:rsidR="00647955"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 edastab teated avalikusele läbi meedia kanalite, rakenduse </w:t>
            </w:r>
            <w:proofErr w:type="spellStart"/>
            <w:r w:rsidR="00647955" w:rsidRPr="00552472">
              <w:rPr>
                <w:rFonts w:ascii="Times New Roman" w:hAnsi="Times New Roman" w:cs="Times New Roman"/>
                <w:sz w:val="24"/>
                <w:szCs w:val="24"/>
              </w:rPr>
              <w:t>TarkTee</w:t>
            </w:r>
            <w:proofErr w:type="spellEnd"/>
            <w:r w:rsidR="00647955" w:rsidRPr="00552472">
              <w:rPr>
                <w:rFonts w:ascii="Times New Roman" w:hAnsi="Times New Roman" w:cs="Times New Roman"/>
                <w:sz w:val="24"/>
                <w:szCs w:val="24"/>
              </w:rPr>
              <w:t xml:space="preserve">, vajaduse tehakse eraldi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Transpordiamet</w:t>
            </w:r>
            <w:r w:rsidR="00647955" w:rsidRPr="00552472">
              <w:rPr>
                <w:rFonts w:ascii="Times New Roman" w:hAnsi="Times New Roman" w:cs="Times New Roman"/>
                <w:sz w:val="24"/>
                <w:szCs w:val="24"/>
              </w:rPr>
              <w:t>i avalike suhete osakonna poolt pressiteated.</w:t>
            </w:r>
          </w:p>
        </w:tc>
      </w:tr>
      <w:tr w:rsidR="00047B5C" w:rsidRPr="00552472" w14:paraId="4A947966" w14:textId="77777777" w:rsidTr="008654BA">
        <w:tc>
          <w:tcPr>
            <w:tcW w:w="2590" w:type="dxa"/>
          </w:tcPr>
          <w:p w14:paraId="4F329938" w14:textId="77777777" w:rsidR="00047B5C" w:rsidRPr="00552472" w:rsidRDefault="009A6277" w:rsidP="005524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Taastamise prognoositav aeg</w:t>
            </w:r>
          </w:p>
        </w:tc>
        <w:tc>
          <w:tcPr>
            <w:tcW w:w="6472" w:type="dxa"/>
            <w:gridSpan w:val="3"/>
          </w:tcPr>
          <w:p w14:paraId="632CD92D" w14:textId="77777777" w:rsidR="00047B5C" w:rsidRPr="00552472" w:rsidRDefault="00647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2472">
              <w:rPr>
                <w:rFonts w:ascii="Times New Roman" w:hAnsi="Times New Roman" w:cs="Times New Roman"/>
                <w:sz w:val="24"/>
                <w:szCs w:val="24"/>
              </w:rPr>
              <w:t>Mitte üle 12 tunni põhiteedel, 24 tunni tugiteedel ja 72 tunni kõrvalteedel</w:t>
            </w:r>
          </w:p>
        </w:tc>
      </w:tr>
    </w:tbl>
    <w:p w14:paraId="3D022708" w14:textId="77777777" w:rsidR="00FA4BBC" w:rsidRPr="00552472" w:rsidRDefault="00FA4BBC">
      <w:pPr>
        <w:rPr>
          <w:rFonts w:ascii="Times New Roman" w:hAnsi="Times New Roman" w:cs="Times New Roman"/>
          <w:sz w:val="24"/>
          <w:szCs w:val="24"/>
        </w:rPr>
      </w:pPr>
    </w:p>
    <w:p w14:paraId="16A023BE" w14:textId="77777777" w:rsidR="00047B5C" w:rsidRPr="00552472" w:rsidRDefault="00047B5C">
      <w:pPr>
        <w:rPr>
          <w:rFonts w:ascii="Times New Roman" w:hAnsi="Times New Roman" w:cs="Times New Roman"/>
          <w:sz w:val="24"/>
          <w:szCs w:val="24"/>
        </w:rPr>
      </w:pPr>
    </w:p>
    <w:sectPr w:rsidR="00047B5C" w:rsidRPr="00552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B4905E" w16cid:durableId="1F33843E"/>
  <w16cid:commentId w16cid:paraId="10B12D79" w16cid:durableId="1F338761"/>
  <w16cid:commentId w16cid:paraId="70E6A73A" w16cid:durableId="1F8559EA"/>
  <w16cid:commentId w16cid:paraId="535D4250" w16cid:durableId="1F855A9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566A"/>
    <w:multiLevelType w:val="hybridMultilevel"/>
    <w:tmpl w:val="92C2BFB8"/>
    <w:lvl w:ilvl="0" w:tplc="5A721D8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2429EF"/>
    <w:multiLevelType w:val="hybridMultilevel"/>
    <w:tmpl w:val="5FA6D8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52A57"/>
    <w:multiLevelType w:val="hybridMultilevel"/>
    <w:tmpl w:val="5096F7B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D6520"/>
    <w:multiLevelType w:val="hybridMultilevel"/>
    <w:tmpl w:val="6EBEEB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7B7420"/>
    <w:multiLevelType w:val="hybridMultilevel"/>
    <w:tmpl w:val="16BC96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D7C60"/>
    <w:multiLevelType w:val="hybridMultilevel"/>
    <w:tmpl w:val="45623A5C"/>
    <w:lvl w:ilvl="0" w:tplc="DFBA7A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F93DCA"/>
    <w:multiLevelType w:val="hybridMultilevel"/>
    <w:tmpl w:val="28F0F256"/>
    <w:lvl w:ilvl="0" w:tplc="A37428C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B5C"/>
    <w:rsid w:val="00047B5C"/>
    <w:rsid w:val="001A62CE"/>
    <w:rsid w:val="001E1259"/>
    <w:rsid w:val="00225684"/>
    <w:rsid w:val="0028702D"/>
    <w:rsid w:val="002E39D6"/>
    <w:rsid w:val="00333BE4"/>
    <w:rsid w:val="004E3D8A"/>
    <w:rsid w:val="004E4031"/>
    <w:rsid w:val="00535523"/>
    <w:rsid w:val="00552472"/>
    <w:rsid w:val="00572C93"/>
    <w:rsid w:val="0058467F"/>
    <w:rsid w:val="005C46C6"/>
    <w:rsid w:val="00613284"/>
    <w:rsid w:val="00641D9F"/>
    <w:rsid w:val="00647955"/>
    <w:rsid w:val="0067666C"/>
    <w:rsid w:val="006918D4"/>
    <w:rsid w:val="006F5DB7"/>
    <w:rsid w:val="006F7554"/>
    <w:rsid w:val="0075396A"/>
    <w:rsid w:val="007A649F"/>
    <w:rsid w:val="007E089F"/>
    <w:rsid w:val="0082466A"/>
    <w:rsid w:val="00837DD9"/>
    <w:rsid w:val="008654BA"/>
    <w:rsid w:val="008753AA"/>
    <w:rsid w:val="0089738D"/>
    <w:rsid w:val="008F14DF"/>
    <w:rsid w:val="00927677"/>
    <w:rsid w:val="009A6277"/>
    <w:rsid w:val="009D4108"/>
    <w:rsid w:val="00A20464"/>
    <w:rsid w:val="00A52EC2"/>
    <w:rsid w:val="00A56A69"/>
    <w:rsid w:val="00A64337"/>
    <w:rsid w:val="00AD3717"/>
    <w:rsid w:val="00B413B5"/>
    <w:rsid w:val="00B506A8"/>
    <w:rsid w:val="00B76E4C"/>
    <w:rsid w:val="00B93D89"/>
    <w:rsid w:val="00BF0CAC"/>
    <w:rsid w:val="00C03C29"/>
    <w:rsid w:val="00CE7CFE"/>
    <w:rsid w:val="00D5151A"/>
    <w:rsid w:val="00D820CB"/>
    <w:rsid w:val="00E73727"/>
    <w:rsid w:val="00EC540E"/>
    <w:rsid w:val="00F752DB"/>
    <w:rsid w:val="00FA4BBC"/>
    <w:rsid w:val="00FA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81D29"/>
  <w15:chartTrackingRefBased/>
  <w15:docId w15:val="{19DC3EA0-83DD-48E0-AEBF-ADEBB6370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046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7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E3D8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F14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4D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4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4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4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1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14DF"/>
    <w:rPr>
      <w:rFonts w:ascii="Segoe UI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04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F0CAC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0CA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5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hyperlink" Target="mailto:tmc@transpordiamet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eeinfo@112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DC1EE-B80E-47FC-AE43-3ED76EFB1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Ossadtšaja</dc:creator>
  <cp:keywords/>
  <dc:description/>
  <cp:lastModifiedBy>Marian Tuul</cp:lastModifiedBy>
  <cp:revision>2</cp:revision>
  <dcterms:created xsi:type="dcterms:W3CDTF">2021-06-28T12:53:00Z</dcterms:created>
  <dcterms:modified xsi:type="dcterms:W3CDTF">2021-06-28T12:53:00Z</dcterms:modified>
</cp:coreProperties>
</file>